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  <w:noProof/>
        </w:rPr>
        <w:drawing>
          <wp:inline distT="0" distB="0" distL="114300" distR="114300">
            <wp:extent cx="4819650" cy="2486025"/>
            <wp:effectExtent l="0" t="0" r="0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</w:rPr>
        <w:t>Supplementary Fig. 1. A. Flow cytometry analysis of the gating strategy for CD8</w:t>
      </w:r>
      <w:r w:rsidRPr="00806B86">
        <w:rPr>
          <w:rFonts w:ascii="Times New Roman" w:hAnsi="Times New Roman" w:cs="Times New Roman"/>
          <w:vertAlign w:val="superscript"/>
        </w:rPr>
        <w:t>+</w:t>
      </w:r>
      <w:r w:rsidRPr="00806B86">
        <w:rPr>
          <w:rFonts w:ascii="Times New Roman" w:hAnsi="Times New Roman" w:cs="Times New Roman"/>
        </w:rPr>
        <w:t xml:space="preserve"> T cells (corresponding to Figure 3A, n=5). B. Flow cytometry analysis of proliferation markers (Ki67) (corresponding to Figure 3F, n=5). C. Flow cytometry analysis of exhaustion marker (TIM-3) (corresponding to Figure 5G). D. Flow cytometry analysis of exhaustion markers (PD-1) (corresponding to Figure 3G, n=5). </w:t>
      </w:r>
    </w:p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  <w:noProof/>
        </w:rPr>
        <w:drawing>
          <wp:inline distT="0" distB="0" distL="114300" distR="114300">
            <wp:extent cx="4819650" cy="1304925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</w:rPr>
        <w:t>Supplementary Fig. 2. A. Gate strategy for analyzing exhaustion markers (PD-1) (corresponding to Figure 5G, n=5). B. Gate strategy for analyzing exhaustion markers (TIM-3) (corresponding to Figure 5G, n=5).</w:t>
      </w:r>
    </w:p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  <w:noProof/>
        </w:rPr>
        <w:drawing>
          <wp:inline distT="0" distB="0" distL="114300" distR="114300">
            <wp:extent cx="5234305" cy="2644775"/>
            <wp:effectExtent l="0" t="0" r="0" b="3175"/>
            <wp:docPr id="4" name="图片 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</w:rPr>
        <w:t xml:space="preserve">Supplementary Fig. 3. A. Western blotting of S100A10 protein levels in clinical CRC samples and </w:t>
      </w:r>
      <w:proofErr w:type="spellStart"/>
      <w:r w:rsidRPr="00806B86">
        <w:rPr>
          <w:rFonts w:ascii="Times New Roman" w:hAnsi="Times New Roman" w:cs="Times New Roman"/>
        </w:rPr>
        <w:t>paracancerous</w:t>
      </w:r>
      <w:proofErr w:type="spellEnd"/>
      <w:r w:rsidRPr="00806B86">
        <w:rPr>
          <w:rFonts w:ascii="Times New Roman" w:hAnsi="Times New Roman" w:cs="Times New Roman"/>
        </w:rPr>
        <w:t xml:space="preserve"> tissues (corresponding to Figure 6B, n=5). **</w:t>
      </w:r>
      <w:r w:rsidRPr="00806B86">
        <w:rPr>
          <w:rFonts w:ascii="Times New Roman" w:hAnsi="Times New Roman" w:cs="Times New Roman"/>
          <w:i/>
          <w:iCs/>
        </w:rPr>
        <w:t>p</w:t>
      </w:r>
      <w:r w:rsidRPr="00806B86">
        <w:rPr>
          <w:rFonts w:ascii="Times New Roman" w:hAnsi="Times New Roman" w:cs="Times New Roman"/>
        </w:rPr>
        <w:t xml:space="preserve"> &lt; 0.01, compared with </w:t>
      </w:r>
      <w:r w:rsidRPr="00806B86">
        <w:rPr>
          <w:rFonts w:ascii="Times New Roman" w:hAnsi="Times New Roman" w:cs="Times New Roman"/>
        </w:rPr>
        <w:lastRenderedPageBreak/>
        <w:t>para-carcinoma. B, C. Cycloheximide (CHX) chase assays exhibited the S100A10 protein degradation with or without CPT1A overexpression (corresponding to Figure 6H, I, n = 3).  **</w:t>
      </w:r>
      <w:r w:rsidRPr="00806B86">
        <w:rPr>
          <w:rFonts w:ascii="Times New Roman" w:hAnsi="Times New Roman" w:cs="Times New Roman"/>
          <w:i/>
          <w:iCs/>
        </w:rPr>
        <w:t>p</w:t>
      </w:r>
      <w:r w:rsidRPr="00806B86">
        <w:rPr>
          <w:rFonts w:ascii="Times New Roman" w:hAnsi="Times New Roman" w:cs="Times New Roman"/>
        </w:rPr>
        <w:t xml:space="preserve"> &lt; 0.01, compared with NC-OE. D, E. Western blotting revealed that ASS1 knockdown reduced S100A10 protein levels, which could be rescued by CPT1A overexpression (corresponding to Figure 6J, K, n = 3).  **</w:t>
      </w:r>
      <w:r w:rsidRPr="00806B86">
        <w:rPr>
          <w:rFonts w:ascii="Times New Roman" w:hAnsi="Times New Roman" w:cs="Times New Roman"/>
          <w:i/>
          <w:iCs/>
        </w:rPr>
        <w:t>p</w:t>
      </w:r>
      <w:r w:rsidRPr="00806B86">
        <w:rPr>
          <w:rFonts w:ascii="Times New Roman" w:hAnsi="Times New Roman" w:cs="Times New Roman"/>
        </w:rPr>
        <w:t xml:space="preserve"> &lt; 0.01, compared with NC-OE; </w:t>
      </w:r>
      <w:r w:rsidRPr="00806B86">
        <w:rPr>
          <w:rFonts w:ascii="Times New Roman" w:hAnsi="Times New Roman" w:cs="Times New Roman"/>
          <w:vertAlign w:val="superscript"/>
        </w:rPr>
        <w:t>##</w:t>
      </w:r>
      <w:r w:rsidRPr="00806B86">
        <w:rPr>
          <w:rFonts w:ascii="Times New Roman" w:hAnsi="Times New Roman" w:cs="Times New Roman"/>
          <w:i/>
          <w:iCs/>
        </w:rPr>
        <w:t>p</w:t>
      </w:r>
      <w:r w:rsidRPr="00806B86">
        <w:rPr>
          <w:rFonts w:ascii="Times New Roman" w:hAnsi="Times New Roman" w:cs="Times New Roman"/>
        </w:rPr>
        <w:t xml:space="preserve"> &lt; 0.01, compared with shASS1+NC-OE.</w:t>
      </w:r>
    </w:p>
    <w:p w:rsidR="00DB7EAF" w:rsidRPr="00806B86" w:rsidRDefault="00DB7EAF">
      <w:pPr>
        <w:rPr>
          <w:rFonts w:ascii="Times New Roman" w:hAnsi="Times New Roman" w:cs="Times New Roman"/>
        </w:rPr>
      </w:pPr>
    </w:p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  <w:noProof/>
        </w:rPr>
        <w:drawing>
          <wp:inline distT="0" distB="0" distL="114300" distR="114300">
            <wp:extent cx="5267325" cy="4663440"/>
            <wp:effectExtent l="0" t="0" r="3175" b="10160"/>
            <wp:docPr id="1" name="图片 1" descr="supplementary figures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upplementary figures_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6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</w:rPr>
        <w:t xml:space="preserve">Supplementary Fig. 4. A-C. Box plots demonstrating the mRNA expression levels of ASS1 (A), CPT1A (B), or S100A10 (C) in the </w:t>
      </w:r>
      <w:proofErr w:type="spellStart"/>
      <w:r w:rsidRPr="00806B86">
        <w:rPr>
          <w:rFonts w:ascii="Times New Roman" w:hAnsi="Times New Roman" w:cs="Times New Roman"/>
        </w:rPr>
        <w:t>The</w:t>
      </w:r>
      <w:proofErr w:type="spellEnd"/>
      <w:r w:rsidRPr="00806B86">
        <w:rPr>
          <w:rFonts w:ascii="Times New Roman" w:hAnsi="Times New Roman" w:cs="Times New Roman"/>
        </w:rPr>
        <w:t xml:space="preserve"> Cancer Genome Atlas Colon Adenocarcinoma TCGA-COAD cohort. The center line represents the median, and the bounds of the box indicate the interquartile range. Statistical analysis was performed using the Mann-Whitney U test. D-E. Box plots demonstrating the correlation between mRNA expression levels of ASS1 (D), CPT1A (E), or S100A10 (F) and pathological tumor stage (Stage I/II vs. Stage III/IV). G-I. Kaplan-Meier survival curves analyzing the association between mRNA expression of ASS1 (G), CPT1A (H), or S100A10 (I) and overall survival in colorectal cancer patients from TCGA-COAD cohort. Patients were stratified into high- and low-expression groups based on the median expression level of each gene. Statistical significance was assessed using the log-rank test.</w:t>
      </w:r>
    </w:p>
    <w:p w:rsidR="00DB7EAF" w:rsidRPr="00806B86" w:rsidRDefault="00DB7EAF">
      <w:pPr>
        <w:rPr>
          <w:rFonts w:ascii="Times New Roman" w:hAnsi="Times New Roman" w:cs="Times New Roman"/>
        </w:rPr>
      </w:pPr>
    </w:p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>
            <wp:extent cx="4867275" cy="2562225"/>
            <wp:effectExtent l="0" t="0" r="9525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7EAF" w:rsidRPr="00806B86" w:rsidRDefault="00EE0B31">
      <w:pPr>
        <w:rPr>
          <w:rFonts w:ascii="Times New Roman" w:hAnsi="Times New Roman" w:cs="Times New Roman"/>
        </w:rPr>
      </w:pPr>
      <w:r w:rsidRPr="00806B86">
        <w:rPr>
          <w:rFonts w:ascii="Times New Roman" w:hAnsi="Times New Roman" w:cs="Times New Roman"/>
        </w:rPr>
        <w:t>Supplementary Fig. 5. A. Flow cytometry analysis of the gate strategy for CD8 (corresponding to Figure 8F, n=5)</w:t>
      </w:r>
      <w:r w:rsidR="00806B86">
        <w:rPr>
          <w:rFonts w:ascii="Times New Roman" w:hAnsi="Times New Roman" w:cs="Times New Roman"/>
        </w:rPr>
        <w:t>.</w:t>
      </w:r>
      <w:bookmarkStart w:id="0" w:name="_GoBack"/>
      <w:bookmarkEnd w:id="0"/>
      <w:r w:rsidRPr="00806B86">
        <w:rPr>
          <w:rFonts w:ascii="Times New Roman" w:hAnsi="Times New Roman" w:cs="Times New Roman"/>
        </w:rPr>
        <w:t xml:space="preserve"> B. Flow cytometry analysis of exhaustion markers (PD-1) using the gate strategy (corresponding to Figure 8G, n=5). C. Flow cytometry analysis of exhaustion markers (TIM-3) using the gate strategy (corresponding to Figure 8G, n=5). </w:t>
      </w:r>
    </w:p>
    <w:p w:rsidR="00DB7EAF" w:rsidRPr="00806B86" w:rsidRDefault="00DB7EAF">
      <w:pPr>
        <w:rPr>
          <w:rFonts w:ascii="Times New Roman" w:hAnsi="Times New Roman" w:cs="Times New Roman"/>
        </w:rPr>
      </w:pPr>
    </w:p>
    <w:sectPr w:rsidR="00DB7EAF" w:rsidRPr="00806B8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B7EAF"/>
    <w:rsid w:val="00806B86"/>
    <w:rsid w:val="00DB7EAF"/>
    <w:rsid w:val="00EE0B31"/>
    <w:rsid w:val="02AD3F5B"/>
    <w:rsid w:val="052C79D9"/>
    <w:rsid w:val="06043E9E"/>
    <w:rsid w:val="417D1F43"/>
    <w:rsid w:val="44AC0BE4"/>
    <w:rsid w:val="47AB5291"/>
    <w:rsid w:val="4CCF550D"/>
    <w:rsid w:val="52AE602D"/>
    <w:rsid w:val="6F2C5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DBA33ED"/>
  <w15:docId w15:val="{E657B86B-A8DA-4965-9F35-1E337D58C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372</Words>
  <Characters>2121</Characters>
  <Application>Microsoft Office Word</Application>
  <DocSecurity>0</DocSecurity>
  <Lines>17</Lines>
  <Paragraphs>4</Paragraphs>
  <ScaleCrop>false</ScaleCrop>
  <Company/>
  <LinksUpToDate>false</LinksUpToDate>
  <CharactersWithSpaces>2489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XR</dc:creator>
  <cp:lastModifiedBy>Molly</cp:lastModifiedBy>
  <cp:revision>3</cp:revision>
  <dcterms:created xsi:type="dcterms:W3CDTF">2026-02-05T03:02:00Z</dcterms:created>
  <dcterms:modified xsi:type="dcterms:W3CDTF">2026-04-15T07:07:00Z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2052-12.1.0.24655</vt:lpwstr>
  </property>
  <property fmtid="{D5CDD505-2E9C-101B-9397-08002B2CF9AE}" pid="3" name="KSOTemplateDocerSaveRecord">
    <vt:lpwstr>eyJoZGlkIjoiYjc1Y2Q1ODZiNGNiZDVjNTM4YzhiNWI2NmQ3NWRlYzkiLCJ1c2VySWQiOiI0OTI2ODI1MTkifQ==</vt:lpwstr>
  </property>
  <property fmtid="{D5CDD505-2E9C-101B-9397-08002B2CF9AE}" pid="4" name="ICV">
    <vt:lpwstr>BDE75158B7464E3393BC3D31DC2BCFBC_13</vt:lpwstr>
  </property>
</Properties>
</file>